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7E" w:rsidRPr="007C0235" w:rsidRDefault="0070387E">
      <w:pPr>
        <w:pStyle w:val="ConsPlusTitle"/>
        <w:jc w:val="center"/>
        <w:outlineLvl w:val="0"/>
        <w:rPr>
          <w:rFonts w:ascii="Arial" w:hAnsi="Arial" w:cs="Arial"/>
          <w:color w:val="000000" w:themeColor="text1"/>
          <w:szCs w:val="22"/>
        </w:rPr>
      </w:pPr>
      <w:bookmarkStart w:id="0" w:name="_GoBack"/>
      <w:r w:rsidRPr="007C0235">
        <w:rPr>
          <w:rFonts w:ascii="Arial" w:hAnsi="Arial" w:cs="Arial"/>
          <w:color w:val="000000" w:themeColor="text1"/>
          <w:szCs w:val="22"/>
        </w:rPr>
        <w:t>СТАРОПОЛТАВСКАЯ РАЙОННАЯ ДУМА ВОЛГОГРАДСКОЙ ОБЛАСТИ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РЕШЕНИЕ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от 26 октября 2012 г. N 46/444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О ВВЕДЕНИИ В ДЕЙСТВИЕ СИСТЕМЫ НАЛОГООБЛОЖЕНИЯ В ВИДЕ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ЕДИНОГО НАЛОГА НА ВМЕНЕННЫЙ ДОХОД ДЛЯ ОТДЕЛЬНЫХ ВИДОВ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ДЕЯТЕЛЬНОСТИ НА ТЕРРИТОРИИ СТАРОПОЛТАВСКОГО</w:t>
      </w:r>
    </w:p>
    <w:p w:rsidR="0070387E" w:rsidRPr="007C0235" w:rsidRDefault="0070387E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МУНИЦИПАЛЬНОГО РАЙОНА НА 2013 - 2018 ГОДЫ</w:t>
      </w:r>
    </w:p>
    <w:p w:rsidR="0070387E" w:rsidRPr="007C0235" w:rsidRDefault="0070387E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Список изменяющих документов</w:t>
      </w:r>
    </w:p>
    <w:p w:rsidR="0070387E" w:rsidRPr="007C0235" w:rsidRDefault="0070387E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4" w:history="1">
        <w:r w:rsidRPr="007C0235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Старополтавской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районной Думы Волгоградской обл.</w:t>
      </w:r>
    </w:p>
    <w:p w:rsidR="0070387E" w:rsidRPr="007C0235" w:rsidRDefault="0070387E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от 19.12.2016 N 37/218)</w:t>
      </w:r>
    </w:p>
    <w:p w:rsidR="0070387E" w:rsidRPr="007C0235" w:rsidRDefault="0070387E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На основании </w:t>
      </w:r>
      <w:hyperlink r:id="rId5" w:history="1">
        <w:r w:rsidRPr="007C0235">
          <w:rPr>
            <w:rFonts w:ascii="Arial" w:hAnsi="Arial" w:cs="Arial"/>
            <w:color w:val="000000" w:themeColor="text1"/>
            <w:szCs w:val="22"/>
          </w:rPr>
          <w:t>главы 26.3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Федерации, в соответствии со </w:t>
      </w:r>
      <w:hyperlink r:id="rId6" w:history="1">
        <w:r w:rsidRPr="007C0235">
          <w:rPr>
            <w:rFonts w:ascii="Arial" w:hAnsi="Arial" w:cs="Arial"/>
            <w:color w:val="000000" w:themeColor="text1"/>
            <w:szCs w:val="22"/>
          </w:rPr>
          <w:t>ст. 13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Устава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Старополтавского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муниципального района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Старополтавская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районная Дума решила: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1. Ввести в действие на территории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Старополтавского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муниципального района систему налогообложения в виде единого налога на вмененный доход для отдельных видов деятельности на 2013 - 2018 годы.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1) оказания бытовых услуг. Коды видов деятельности в соответствии с Общероссийским </w:t>
      </w:r>
      <w:hyperlink r:id="rId7" w:history="1">
        <w:r w:rsidRPr="007C0235">
          <w:rPr>
            <w:rFonts w:ascii="Arial" w:hAnsi="Arial" w:cs="Arial"/>
            <w:color w:val="000000" w:themeColor="text1"/>
            <w:szCs w:val="22"/>
          </w:rPr>
          <w:t>классификатором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видов экономической деятельности и коды услуг в соответствии с Общероссийским </w:t>
      </w:r>
      <w:hyperlink r:id="rId8" w:history="1">
        <w:r w:rsidRPr="007C0235">
          <w:rPr>
            <w:rFonts w:ascii="Arial" w:hAnsi="Arial" w:cs="Arial"/>
            <w:color w:val="000000" w:themeColor="text1"/>
            <w:szCs w:val="22"/>
          </w:rPr>
          <w:t>классификатором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70387E" w:rsidRPr="007C0235" w:rsidRDefault="0070387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(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пп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. 1 в ред. </w:t>
      </w:r>
      <w:hyperlink r:id="rId9" w:history="1">
        <w:r w:rsidRPr="007C0235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Старополтавской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районной Думы Волгоградской обл. от 19.12.2016 N 37/218)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2) оказания ветеринарных услуг;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3) оказания услуг по ремонту, техническому обслуживанию и мойке автомототранспортных средств;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10) распространения наружной рекламы с использованием рекламных конструкций;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11) размещения рекламы на транспортных средствах;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</w:t>
      </w:r>
      <w:r w:rsidRPr="007C0235">
        <w:rPr>
          <w:rFonts w:ascii="Arial" w:hAnsi="Arial" w:cs="Arial"/>
          <w:color w:val="000000" w:themeColor="text1"/>
          <w:szCs w:val="22"/>
        </w:rPr>
        <w:lastRenderedPageBreak/>
        <w:t>площадь помещений для временного размещения и проживания не более 500 квадратных метров;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0387E" w:rsidRPr="007C0235" w:rsidRDefault="007038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КонсультантПлюс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>: примечание.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Нумерация пунктов дана в соответствии с официальным текстом документа.</w:t>
      </w:r>
    </w:p>
    <w:p w:rsidR="0070387E" w:rsidRPr="007C0235" w:rsidRDefault="007038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2.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К2 =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x Км x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>,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где: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- коэффициент, учитывающий ассортимент товаров и виды работ (услуг);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Км - коэффициент, учитывающий особенности места ведения предпринимательской деятельности;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- коэффициент, учитывающий размер выплачиваемой заработной платы, для организаций и индивидуальных предпринимателей, использующих труд наемных работников.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3.1. Установить значение коэффициента, учитывающего ассортимент товаров и виды работ (услуг) (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), согласно </w:t>
      </w:r>
      <w:hyperlink w:anchor="P83" w:history="1">
        <w:r w:rsidRPr="007C0235">
          <w:rPr>
            <w:rFonts w:ascii="Arial" w:hAnsi="Arial" w:cs="Arial"/>
            <w:color w:val="000000" w:themeColor="text1"/>
            <w:szCs w:val="22"/>
          </w:rPr>
          <w:t>приложению N 1</w:t>
        </w:r>
      </w:hyperlink>
      <w:r w:rsidRPr="007C0235">
        <w:rPr>
          <w:rFonts w:ascii="Arial" w:hAnsi="Arial" w:cs="Arial"/>
          <w:color w:val="000000" w:themeColor="text1"/>
          <w:szCs w:val="22"/>
        </w:rPr>
        <w:t>. 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3.2. Установить коэффициент, учитывающий особенности места ведения предпринимательской деятельности (Км), в следующих размерах: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3.2.1. Км = 0,37 - для организаций и индивидуальных предпринимателей, осуществляющих свою деятельность в сельских населенных пунктах с численностью населения менее 2000 человек;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3.2.2. Км = 0,50 - для организаций и индивидуальных предпринимателей, осуществляющих свою деятельность в сельских населенных пунктах с численностью населения 2000 человек и более, не являющихся административным центром муниципального образования;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3.2.3. Км = 0,76 - для организаций и индивидуальных предпринимателей, осуществляющих свою деятельность в административном центре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Старополтавского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муниципального образования (с. Старая Полтавка).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3.3. Установить коэффициент, учитывающий размер выплачиваемой заработной платы, для организаций и индивидуальных предпринимателей, использующих труд наемных работников (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>), в следующих размерах: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3.3.1.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= 1,2 - применяется организациями и индивидуальными предпринимателями, использующими труд наемных работников и выплачивающими среднемесячную заработную плату в размере, не превышающем величину прожиточного минимума, установленного для трудоспособного населения;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3.3.2.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= 1 - применяется организациями и индивидуальными предпринимателями, использующими труд наемных работников и выплачивающими среднемесячную заработную плату в размере, равном или превышающем величину прожиточного минимума, установленного для трудоспособного населения.</w:t>
      </w:r>
    </w:p>
    <w:p w:rsidR="0070387E" w:rsidRPr="007C0235" w:rsidRDefault="007038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КонсультантПлюс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>: примечание.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В официальном тексте документа, видимо, допущена опечатка: одни и те же слова "работника определяется налогоплательщиком с учетом отработанного времени за налоговый период на основании данных" повторяются дважды.</w:t>
      </w:r>
    </w:p>
    <w:p w:rsidR="0070387E" w:rsidRPr="007C0235" w:rsidRDefault="007038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Величина выплачиваемой среднемесячной заработной платы на одного работника среднесписочной численности представляет собой сумму выплат работнику, отработавшему </w:t>
      </w:r>
      <w:r w:rsidRPr="007C0235">
        <w:rPr>
          <w:rFonts w:ascii="Arial" w:hAnsi="Arial" w:cs="Arial"/>
          <w:color w:val="000000" w:themeColor="text1"/>
          <w:szCs w:val="22"/>
        </w:rPr>
        <w:lastRenderedPageBreak/>
        <w:t>месячную норму рабочего времени, установленную законодательством Российской Федерации, включающую тарифную ставку (оклад) или оплату труда по бестарифной системе, а также доплаты, надбавки, премии и другие поощрительные выплаты. Величина выплачиваемой среднемесячной заработной платы на одного работника определяется налогоплательщиком с учетом отработанного времени за налоговый период на основании данных: работника определяется налогоплательщиком с учетом отработанного времени за налоговый период на основании данных: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- налоговых карточек по учету доходов и налога на доходы физических лиц по </w:t>
      </w:r>
      <w:hyperlink r:id="rId10" w:history="1">
        <w:r w:rsidRPr="007C0235">
          <w:rPr>
            <w:rFonts w:ascii="Arial" w:hAnsi="Arial" w:cs="Arial"/>
            <w:color w:val="000000" w:themeColor="text1"/>
            <w:szCs w:val="22"/>
          </w:rPr>
          <w:t>форме N 1-НДФЛ</w:t>
        </w:r>
      </w:hyperlink>
      <w:r w:rsidRPr="007C0235">
        <w:rPr>
          <w:rFonts w:ascii="Arial" w:hAnsi="Arial" w:cs="Arial"/>
          <w:color w:val="000000" w:themeColor="text1"/>
          <w:szCs w:val="22"/>
        </w:rPr>
        <w:t>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- справок о доходах физических лиц по </w:t>
      </w:r>
      <w:hyperlink r:id="rId11" w:history="1">
        <w:r w:rsidRPr="007C0235">
          <w:rPr>
            <w:rFonts w:ascii="Arial" w:hAnsi="Arial" w:cs="Arial"/>
            <w:color w:val="000000" w:themeColor="text1"/>
            <w:szCs w:val="22"/>
          </w:rPr>
          <w:t>форме N 2-НДФЛ</w:t>
        </w:r>
      </w:hyperlink>
      <w:r w:rsidRPr="007C0235">
        <w:rPr>
          <w:rFonts w:ascii="Arial" w:hAnsi="Arial" w:cs="Arial"/>
          <w:color w:val="000000" w:themeColor="text1"/>
          <w:szCs w:val="22"/>
        </w:rPr>
        <w:t>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- трудовых договоров;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- табеля учета рабочего времени;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- ведомостей выплаты заработной платы.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Основание ведения данных форм учета: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- Налоговый </w:t>
      </w:r>
      <w:hyperlink r:id="rId12" w:history="1">
        <w:r w:rsidRPr="007C0235">
          <w:rPr>
            <w:rFonts w:ascii="Arial" w:hAnsi="Arial" w:cs="Arial"/>
            <w:color w:val="000000" w:themeColor="text1"/>
            <w:szCs w:val="22"/>
          </w:rPr>
          <w:t>кодекс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Российской Федерации;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- Трудовой </w:t>
      </w:r>
      <w:hyperlink r:id="rId13" w:history="1">
        <w:r w:rsidRPr="007C0235">
          <w:rPr>
            <w:rFonts w:ascii="Arial" w:hAnsi="Arial" w:cs="Arial"/>
            <w:color w:val="000000" w:themeColor="text1"/>
            <w:szCs w:val="22"/>
          </w:rPr>
          <w:t>кодекс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Российской Федерации;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- </w:t>
      </w:r>
      <w:hyperlink r:id="rId14" w:history="1">
        <w:r w:rsidRPr="007C0235">
          <w:rPr>
            <w:rFonts w:ascii="Arial" w:hAnsi="Arial" w:cs="Arial"/>
            <w:color w:val="000000" w:themeColor="text1"/>
            <w:szCs w:val="22"/>
          </w:rPr>
          <w:t>постановление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Госкомстата РФ от 05.01.2004 N 1 "Об утверждении унифицированных форм первичной учетной документации по учету труда и его оплаты".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При отсутствии учета данных на выплату заработной платы (доходов) применяется наибольшее значение коэффициента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Кзп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(1,2).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4. Опубликовать настоящее решение в газете "Ударник" до 30 ноября 2012 года.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5. Настоящее решение вступает в силу не ранее 1 января 2013 года, но не ранее одного месяца со дня его официального опубликования в газете "Ударник".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6. С момента вступления в силу настоящего решения признать утратившим силу </w:t>
      </w:r>
      <w:hyperlink r:id="rId15" w:history="1">
        <w:r w:rsidRPr="007C0235">
          <w:rPr>
            <w:rFonts w:ascii="Arial" w:hAnsi="Arial" w:cs="Arial"/>
            <w:color w:val="000000" w:themeColor="text1"/>
            <w:szCs w:val="22"/>
          </w:rPr>
          <w:t>решение</w:t>
        </w:r>
      </w:hyperlink>
      <w:r w:rsidRPr="007C023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Старополтавской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районной Думы от 28 октября 2010 года N 17/128 "О введении в действие системы налогообложения в виде единого налога на вмененный доход для отдельных видов деятельности на территории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Старополтавского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муниципального района на 2011 - 2012 годы".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Председатель</w:t>
      </w: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Старополтавской</w:t>
      </w:r>
      <w:proofErr w:type="spellEnd"/>
      <w:r w:rsidRPr="007C0235">
        <w:rPr>
          <w:rFonts w:ascii="Arial" w:hAnsi="Arial" w:cs="Arial"/>
          <w:color w:val="000000" w:themeColor="text1"/>
          <w:szCs w:val="22"/>
        </w:rPr>
        <w:t xml:space="preserve"> районной Думы</w:t>
      </w: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В.Ф.КЛЮСТЕР</w:t>
      </w: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 xml:space="preserve">Глава </w:t>
      </w:r>
      <w:proofErr w:type="spellStart"/>
      <w:r w:rsidRPr="007C0235">
        <w:rPr>
          <w:rFonts w:ascii="Arial" w:hAnsi="Arial" w:cs="Arial"/>
          <w:color w:val="000000" w:themeColor="text1"/>
          <w:szCs w:val="22"/>
        </w:rPr>
        <w:t>Старополтавского</w:t>
      </w:r>
      <w:proofErr w:type="spellEnd"/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муниципального района</w:t>
      </w: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7C0235">
        <w:rPr>
          <w:rFonts w:ascii="Arial" w:hAnsi="Arial" w:cs="Arial"/>
          <w:color w:val="000000" w:themeColor="text1"/>
          <w:szCs w:val="22"/>
        </w:rPr>
        <w:t>В.В.МАРЧЕНКО</w:t>
      </w: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rPr>
          <w:rFonts w:ascii="Arial" w:hAnsi="Arial" w:cs="Arial"/>
          <w:color w:val="000000" w:themeColor="text1"/>
        </w:rPr>
        <w:sectPr w:rsidR="0070387E" w:rsidRPr="007C0235" w:rsidSect="007C0235">
          <w:type w:val="nextPage"/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p w:rsidR="0070387E" w:rsidRPr="007C0235" w:rsidRDefault="0070387E">
      <w:pPr>
        <w:pStyle w:val="ConsPlusNormal"/>
        <w:jc w:val="right"/>
        <w:outlineLvl w:val="0"/>
        <w:rPr>
          <w:rFonts w:ascii="Arial" w:hAnsi="Arial" w:cs="Arial"/>
          <w:color w:val="000000" w:themeColor="text1"/>
          <w:szCs w:val="22"/>
        </w:rPr>
      </w:pPr>
      <w:bookmarkStart w:id="1" w:name="P83"/>
      <w:bookmarkEnd w:id="1"/>
      <w:r w:rsidRPr="007C0235">
        <w:rPr>
          <w:rFonts w:ascii="Arial" w:hAnsi="Arial" w:cs="Arial"/>
          <w:color w:val="000000" w:themeColor="text1"/>
          <w:szCs w:val="22"/>
        </w:rPr>
        <w:lastRenderedPageBreak/>
        <w:t>Приложение N 1</w:t>
      </w: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350"/>
        <w:gridCol w:w="2145"/>
      </w:tblGrid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Ассортимент товаров и виды работ (услуг)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 xml:space="preserve">Значение </w:t>
            </w:r>
            <w:proofErr w:type="spellStart"/>
            <w:r w:rsidRPr="007C0235">
              <w:rPr>
                <w:rFonts w:ascii="Arial" w:hAnsi="Arial" w:cs="Arial"/>
                <w:color w:val="000000" w:themeColor="text1"/>
                <w:szCs w:val="22"/>
              </w:rPr>
              <w:t>Кас</w:t>
            </w:r>
            <w:proofErr w:type="spellEnd"/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2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бытовых услуг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Ремонт, окраска и пошив обуви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0,32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1.2.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пошив швейных изделий и изделий текстильной галантереи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0,32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1.3.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пошив меховых и кожаных изделий, головных уборов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0,37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1.4.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Ремонт, пошив и вязание трикотажных изделий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0,16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1.5.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0,52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1.6.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0,87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1.7.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часов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0,23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1.8.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металлоизделий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0,57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1.9.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ювелирных изделий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1.10.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Химическая чистка и крашение, услуги прачечных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0,23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Услуги фото- и кинолабораторий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0,41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1.11.1.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Услуги фотоателье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0,34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1.12.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Услуги парикмахерских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0,53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1.13.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Услуги по прокату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1.14.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Ритуальные услуги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0,48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1.15.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Другие виды бытовых услуг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0,66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ветеринарных услуг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4.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6.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7.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8.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Разносная и развозная розничная торговля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9.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10.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пассажиров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12.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грузов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13.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14.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15.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16.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Размещение рекламы на транспортных средствах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17.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временному размещению и проживанию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18.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19.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20.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 xml:space="preserve"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</w:t>
            </w:r>
            <w:r w:rsidRPr="007C0235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площадь земельного участка не превышает 10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0,20</w:t>
            </w:r>
          </w:p>
        </w:tc>
      </w:tr>
      <w:tr w:rsidR="007C0235" w:rsidRPr="007C0235">
        <w:tc>
          <w:tcPr>
            <w:tcW w:w="1191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21.</w:t>
            </w:r>
          </w:p>
        </w:tc>
        <w:tc>
          <w:tcPr>
            <w:tcW w:w="6350" w:type="dxa"/>
          </w:tcPr>
          <w:p w:rsidR="0070387E" w:rsidRPr="007C0235" w:rsidRDefault="0070387E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 метров</w:t>
            </w:r>
          </w:p>
        </w:tc>
        <w:tc>
          <w:tcPr>
            <w:tcW w:w="2145" w:type="dxa"/>
          </w:tcPr>
          <w:p w:rsidR="0070387E" w:rsidRPr="007C0235" w:rsidRDefault="0070387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C0235">
              <w:rPr>
                <w:rFonts w:ascii="Arial" w:hAnsi="Arial" w:cs="Arial"/>
                <w:color w:val="000000" w:themeColor="text1"/>
                <w:szCs w:val="22"/>
              </w:rPr>
              <w:t>0,30</w:t>
            </w:r>
          </w:p>
        </w:tc>
      </w:tr>
    </w:tbl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70387E" w:rsidRPr="007C0235" w:rsidRDefault="007038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:rsidR="008D0FF0" w:rsidRPr="007C0235" w:rsidRDefault="008D0FF0">
      <w:pPr>
        <w:rPr>
          <w:rFonts w:ascii="Arial" w:hAnsi="Arial" w:cs="Arial"/>
          <w:color w:val="000000" w:themeColor="text1"/>
        </w:rPr>
      </w:pPr>
    </w:p>
    <w:sectPr w:rsidR="008D0FF0" w:rsidRPr="007C0235" w:rsidSect="007C0235">
      <w:type w:val="nextPage"/>
      <w:pgSz w:w="16838" w:h="11905" w:orient="landscape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E"/>
    <w:rsid w:val="0070387E"/>
    <w:rsid w:val="007C0235"/>
    <w:rsid w:val="008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129D9-05EF-4D08-9C88-9D87A85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004931FFEF6D643BF5AAB8292A07241595F7471CA8F8439324CA1B7607AM" TargetMode="External"/><Relationship Id="rId13" Type="http://schemas.openxmlformats.org/officeDocument/2006/relationships/hyperlink" Target="consultantplus://offline/ref=768004931FFEF6D643BF5AAB8292A07241585F767EC58F8439324CA1B7607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8004931FFEF6D643BF5AAB8292A07241595F747ECE8F8439324CA1B7607AM" TargetMode="External"/><Relationship Id="rId12" Type="http://schemas.openxmlformats.org/officeDocument/2006/relationships/hyperlink" Target="consultantplus://offline/ref=768004931FFEF6D643BF5AAB8292A07241585E757DCD8F8439324CA1B7607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44A694FEFF774353007B78CF81D460604AF6E85A7618FF9C450712AFA9FBB7369946687AM" TargetMode="External"/><Relationship Id="rId11" Type="http://schemas.openxmlformats.org/officeDocument/2006/relationships/hyperlink" Target="consultantplus://offline/ref=768004931FFEF6D643BF5AAB8292A072425057767FCA8F8439324CA1B70A704DBFDC435251EBA4F86B77M" TargetMode="External"/><Relationship Id="rId5" Type="http://schemas.openxmlformats.org/officeDocument/2006/relationships/hyperlink" Target="consultantplus://offline/ref=768004931FFEF6D643BF5AAB8292A07241595A7F7DCD8F8439324CA1B70A704DBFDC435251E8A3F86B72M" TargetMode="External"/><Relationship Id="rId15" Type="http://schemas.openxmlformats.org/officeDocument/2006/relationships/hyperlink" Target="consultantplus://offline/ref=768004931FFEF6D643BF44A694FEFF774353007B7CC885D4626D17FCE0037A1A6F78M" TargetMode="External"/><Relationship Id="rId10" Type="http://schemas.openxmlformats.org/officeDocument/2006/relationships/hyperlink" Target="consultantplus://offline/ref=768004931FFEF6D643BF5AAB8292A072475D5D717AC7D28E316B40A3B0052F5AB8954F5351EBA56F79M" TargetMode="External"/><Relationship Id="rId4" Type="http://schemas.openxmlformats.org/officeDocument/2006/relationships/hyperlink" Target="consultantplus://offline/ref=768004931FFEF6D643BF44A694FEFF774353007B78C882DB6C624AF6E85A7618FF9C450712AFA9FBB7369847687DM" TargetMode="External"/><Relationship Id="rId9" Type="http://schemas.openxmlformats.org/officeDocument/2006/relationships/hyperlink" Target="consultantplus://offline/ref=768004931FFEF6D643BF44A694FEFF774353007B78C882DB6C624AF6E85A7618FF9C450712AFA9FBB7369847687EM" TargetMode="External"/><Relationship Id="rId14" Type="http://schemas.openxmlformats.org/officeDocument/2006/relationships/hyperlink" Target="consultantplus://offline/ref=768004931FFEF6D643BF5AAB8292A072475F5C717DC7D28E316B40A36B7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2017-05-11T12:59:00Z</dcterms:created>
  <dcterms:modified xsi:type="dcterms:W3CDTF">2017-05-11T13:14:00Z</dcterms:modified>
</cp:coreProperties>
</file>